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400" w:after="200"/>
      </w:pPr>
      <w:r>
        <w:t xml:space="preserve">SHIELD/ATLAS — SBIR PROPOSAL TRACKER FY26</w:t>
      </w:r>
    </w:p>
    <w:p>
      <w:pPr>
        <w:pStyle w:val="Heading2"/>
        <w:spacing w:before="300" w:after="150"/>
      </w:pPr>
      <w:r>
        <w:t xml:space="preserve">Integrated Services and Solutions LLC (ISS) — SDVOSB</w:t>
      </w:r>
    </w:p>
    <w:p>
      <w:pPr>
        <w:spacing w:before="80" w:after="80"/>
      </w:pPr>
      <w:r>
        <w:rPr>
          <w:b/>
          <w:bCs/>
        </w:rPr>
        <w:t xml:space="preserve">Date: April 15, 2026 | CAGE: 9VKK3 | UEI: C7YDV3P8EHL7</w:t>
      </w:r>
    </w:p>
    <w:p>
      <w:pPr>
        <w:spacing w:before="80" w:after="80"/>
      </w:pPr>
      <w:r>
        <w:rPr>
          <w:b/>
          <w:bCs/>
        </w:rPr>
        <w:t xml:space="preserve">Live Platform: https://shield-atlas-production.up.railway.app</w:t>
      </w:r>
    </w:p>
    <w:p>
      <w:pPr>
        <w:pStyle w:val="Heading2"/>
        <w:spacing w:before="300" w:after="150"/>
      </w:pPr>
      <w:r>
        <w:t xml:space="preserve">BLUF</w:t>
      </w:r>
    </w:p>
    <w:p>
      <w:pPr>
        <w:spacing w:before="80" w:after="80"/>
      </w:pPr>
      <w:r>
        <w:t xml:space="preserve">ISS is targeting </w:t>
      </w:r>
      <w:r>
        <w:rPr>
          <w:b/>
          <w:bCs/>
        </w:rPr>
        <w:t xml:space="preserve">13 SBIR topics</w:t>
      </w:r>
      <w:r>
        <w:t xml:space="preserve"> across DoD SBIR FY26 Release 1, AFRL SBIR 25.4, and related BAAs. Three proposals have been </w:t>
      </w:r>
      <w:r>
        <w:rPr>
          <w:b/>
          <w:bCs/>
        </w:rPr>
        <w:t xml:space="preserve">SUBMITTED</w:t>
      </w:r>
      <w:r>
        <w:t xml:space="preserve"> (T1, T12, T13). Four topics are </w:t>
      </w:r>
      <w:r>
        <w:rPr>
          <w:b/>
          <w:bCs/>
        </w:rPr>
        <w:t xml:space="preserve">HIGH PRIORITY</w:t>
      </w:r>
      <w:r>
        <w:t xml:space="preserve"> for the next submission cycle (T2, T4, T5, T7). Six topics are </w:t>
      </w:r>
      <w:r>
        <w:rPr>
          <w:b/>
          <w:bCs/>
        </w:rPr>
        <w:t xml:space="preserve">LOWER PRIORITY</w:t>
      </w:r>
      <w:r>
        <w:t xml:space="preserve"> but viable Phase I opportunities. SHIELD/ATLAS platform coverage averages </w:t>
      </w:r>
      <w:r>
        <w:rPr>
          <w:b/>
          <w:bCs/>
        </w:rPr>
        <w:t xml:space="preserve">74.6%</w:t>
      </w:r>
      <w:r>
        <w:t xml:space="preserve"> across all 13, projectable to </w:t>
      </w:r>
      <w:r>
        <w:rPr>
          <w:b/>
          <w:bCs/>
        </w:rPr>
        <w:t xml:space="preserve">87.5%</w:t>
      </w:r>
      <w:r>
        <w:t xml:space="preserve"> after gap-closing builds. The next critical deadline is </w:t>
      </w:r>
      <w:r>
        <w:rPr>
          <w:b/>
          <w:bCs/>
        </w:rPr>
        <w:t xml:space="preserve">Navy FY26 Release 1 — June 3, 2026 noon EDT</w:t>
      </w:r>
      <w:r>
        <w:t xml:space="preserve">.</w:t>
      </w:r>
    </w:p>
    <w:p>
      <w:pPr>
        <w:pStyle w:val="Heading2"/>
        <w:spacing w:before="300" w:after="150"/>
      </w:pPr>
      <w:r>
        <w:t xml:space="preserve">TIER 1: SUBMITTED (3 Topics)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2E8F0"/>
          </w:tcPr>
          <w:p>
            <w:pPr>
              <w:spacing w:before="40" w:after="40"/>
            </w:pPr>
            <w:r>
              <w:t xml:space="preserve">Field</w:t>
            </w:r>
          </w:p>
        </w:tc>
        <w:tc>
          <w:tcPr>
            <w:tcW w:type="pct" w:w="25%"/>
            <w:shd w:fill="E2E8F0"/>
          </w:tcPr>
          <w:p>
            <w:pPr>
              <w:spacing w:before="40" w:after="40"/>
            </w:pPr>
            <w:r>
              <w:t xml:space="preserve">T1</w:t>
            </w:r>
          </w:p>
        </w:tc>
        <w:tc>
          <w:tcPr>
            <w:tcW w:type="pct" w:w="25%"/>
            <w:shd w:fill="E2E8F0"/>
          </w:tcPr>
          <w:p>
            <w:pPr>
              <w:spacing w:before="40" w:after="40"/>
            </w:pPr>
            <w:r>
              <w:t xml:space="preserve">T12</w:t>
            </w:r>
          </w:p>
        </w:tc>
        <w:tc>
          <w:tcPr>
            <w:tcW w:type="pct" w:w="25%"/>
            <w:shd w:fill="E2E8F0"/>
          </w:tcPr>
          <w:p>
            <w:pPr>
              <w:spacing w:before="40" w:after="40"/>
            </w:pPr>
            <w:r>
              <w:t xml:space="preserve">T13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Topic Number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DAF26BZ01-DV001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Army SBIR FY26 (Multi-Sensor C-UAS)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AFRL SBIR 25.4, Topic 11251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Title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Homeland Convoy Counter Drone Operations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Open Multi-Sensor C-UAS Architecture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Next-Gen Autonomous Sensing for UAVs — Passive Sensor Fusion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Agency / Component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Department of the Air Force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U.S. Army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AFRL Sensor Directorate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BAA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DoD SBIR FY26 Release 1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DoD SBIR FY26 Release 1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DoD SBIR 25.4 (DOD_SBIR_2025_P1_C4)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Award Type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Direct to Phase II (D2P2)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White Paper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Direct to Phase II (D2P2) — Up to $1.25M / 21 months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Date Submitted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April 14, 2026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April 13, 2026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April 13, 2026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Submission Portal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DSIP (dodsbirsttr.mil)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DSIP (dodsbirsttr.mil)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DSIP (dodsbirsttr.mil)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Platform Coverage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95%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95%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90%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Status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SUBMITTED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SUBMITTED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SUBMITTED</w:t>
            </w:r>
          </w:p>
        </w:tc>
      </w:tr>
      <w:tr>
        <w:tc>
          <w:tcPr>
            <w:tcW w:type="pct" w:w="25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Key Gaps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Convoy-specific route optimization (minor)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Negligible</w:t>
            </w:r>
          </w:p>
        </w:tc>
        <w:tc>
          <w:tcPr>
            <w:tcW w:type="pct" w:w="25%"/>
          </w:tcPr>
          <w:p>
            <w:pPr>
              <w:spacing w:before="40" w:after="40"/>
            </w:pPr>
            <w:r>
              <w:t xml:space="preserve">Autonomous UAV integration API (minor)</w:t>
            </w:r>
          </w:p>
        </w:tc>
      </w:tr>
    </w:tbl>
    <w:p>
      <w:pPr>
        <w:spacing w:after="100"/>
      </w:pPr>
    </w:p>
    <w:p>
      <w:pPr>
        <w:pStyle w:val="Heading3"/>
        <w:spacing w:before="200" w:after="100"/>
      </w:pPr>
      <w:r>
        <w:t xml:space="preserve">T1 — DAF26BZ01-DV001: Homeland Convoy C-UAS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What They Want:</w:t>
      </w:r>
      <w:r>
        <w:t xml:space="preserve"> Mobile multi-sensor C-UAS for convoy protection in non-permissive homeland environments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Why We Fit:</w:t>
      </w:r>
      <w:r>
        <w:t xml:space="preserve"> ESMS provides distributed C-UAS with 8 RF protocol classifiers, 18-platform acoustic library, 9-category false-positive rejection at $48/node. Kill chain automation from detection through engagement. GPS-denied PNT with 7 independent methods. TAK/CoT bridge for interoperability.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Modules Used:</w:t>
      </w:r>
      <w:r>
        <w:t xml:space="preserve"> ESMS, USEIF, FIRES, Kill Chain State Machine, GPS-Denied Nav, TAK Bridge, ADS-B Deconfliction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CMMC:</w:t>
      </w:r>
      <w:r>
        <w:t xml:space="preserve"> Level 2 (Self)</w:t>
      </w:r>
    </w:p>
    <w:p>
      <w:pPr>
        <w:pStyle w:val="Heading3"/>
        <w:spacing w:before="200" w:after="100"/>
      </w:pPr>
      <w:r>
        <w:t xml:space="preserve">T12 — Army SBIR: Open Multi-Sensor C-UAS Architecture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What They Want:</w:t>
      </w:r>
      <w:r>
        <w:t xml:space="preserve"> Open architecture for fusing multiple C-UAS sensor modalities into a unified detection and classification system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Why We Fit:</w:t>
      </w:r>
      <w:r>
        <w:t xml:space="preserve"> Full C-UAS stack with multi-sensor correlation across RF, acoustic, EO/IR, and radar. IFF deconfliction. Open architecture with USEIF connecting 43 sensor types across 12 protocols.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Modules Used:</w:t>
      </w:r>
      <w:r>
        <w:t xml:space="preserve"> ESMS, USEIF, RF Classifier, Acoustic Sensor, Kill Chain, ADS-B, COP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CMMC:</w:t>
      </w:r>
      <w:r>
        <w:t xml:space="preserve"> Level 2 (Self)</w:t>
      </w:r>
    </w:p>
    <w:p>
      <w:pPr>
        <w:pStyle w:val="Heading3"/>
        <w:spacing w:before="200" w:after="100"/>
      </w:pPr>
      <w:r>
        <w:t xml:space="preserve">T13 — AFRL SBIR 25.4 Topic 11251: Passive Sensor Fusion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What They Want:</w:t>
      </w:r>
      <w:r>
        <w:t xml:space="preserve"> Next-generation autonomous sensing for UAVs using passive sensor fusion for target localization in contested environments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Why We Fit:</w:t>
      </w:r>
      <w:r>
        <w:t xml:space="preserve"> SHIELD/ATLAS passive sensor fusion engine, GPS-denied navigation (7 methods), DDIL/offline-first architecture, edge computing capable. Demonstrated haversine correlation and multi-modal weighting.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Modules Used:</w:t>
      </w:r>
      <w:r>
        <w:t xml:space="preserve"> USEIF, GPS-Denied Nav, DDIL Architecture, Sensor Fusion Engine, Edge Computing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CMMC:</w:t>
      </w:r>
      <w:r>
        <w:t xml:space="preserve"> Level 2 (Self)</w:t>
      </w:r>
    </w:p>
    <w:p>
      <w:pPr>
        <w:pStyle w:val="Heading2"/>
        <w:spacing w:before="300" w:after="150"/>
      </w:pPr>
      <w:r>
        <w:t xml:space="preserve">TIER 2: HIGH PRIORITY — Next Submission Cycle (4 Topics)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Field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T2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T4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T5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T7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Topic Number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DON26BZ01-NV023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DAF26BZ01-NV501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DAF26BZ01-NV006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SFA26BZ01-SV003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Title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Observant-AI ISRT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TacSRT Commercial Sensing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Intelligent Threat Aware Autonomy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Adaptive Intelligent Space C2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Agency / Component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Department of the Navy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Department of the Air Force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Department of the Air Force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Space Force / AFRL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Deadline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June 3, 2026 noon EDT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DAF component close (TBD)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DAF component close (TBD)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Component-specific close (TBD)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Platform Coverage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70%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60%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65%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70%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Status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IN PROGRESS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IN PROGRESS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IN PROGRESS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IN PROGRESS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Priority Rank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P1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P3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P2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P4</w:t>
            </w:r>
          </w:p>
        </w:tc>
      </w:tr>
    </w:tbl>
    <w:p>
      <w:pPr>
        <w:spacing w:after="100"/>
      </w:pPr>
    </w:p>
    <w:p>
      <w:pPr>
        <w:pStyle w:val="Heading3"/>
        <w:spacing w:before="200" w:after="100"/>
      </w:pPr>
      <w:r>
        <w:t xml:space="preserve">T2 — DON26BZ01-NV023: Observant-AI ISRT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What They Want:</w:t>
      </w:r>
      <w:r>
        <w:t xml:space="preserve"> AI-driven ISR with Monte Carlo simulation for Red vs Blue engagement modeling, regenerative/self-teaching AI, natural language tactical interface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Why We Fit (70%):</w:t>
      </w:r>
      <w:r>
        <w:t xml:space="preserve"> Multi-sensor fusion (USEIF), event bus pub/sub architecture, AI agents (ODIN + Evaluator), TAK/CoT integration, auto-SITREP generation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Key Gaps to Close: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GAP-C1: Monte Carlo Simulation Engine</w:t>
      </w:r>
      <w:r>
        <w:t xml:space="preserve"> — No probabilistic scenario modeling exists. Needed for COA comparison with probability distributions. </w:t>
      </w:r>
      <w:r>
        <w:rPr>
          <w:i/>
          <w:iCs/>
        </w:rPr>
        <w:t xml:space="preserve">CRITICAL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GAP-H1: Regenerative AI Feedback Loop</w:t>
      </w:r>
      <w:r>
        <w:t xml:space="preserve"> — AI engines are static (rules + RAG). Need outcome tracking and adaptive weight adjustment to demonstrate "LIVE machine self-teaching." </w:t>
      </w:r>
      <w:r>
        <w:rPr>
          <w:i/>
          <w:iCs/>
        </w:rPr>
        <w:t xml:space="preserve">HIGH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GAP-L1: NL Tactical Interface</w:t>
      </w:r>
      <w:r>
        <w:t xml:space="preserve"> — No structured NL-to-tactical-action pipeline. Need parser to convert spoken/typed commands to event bus actions. </w:t>
      </w:r>
      <w:r>
        <w:rPr>
          <w:i/>
          <w:iCs/>
        </w:rPr>
        <w:t xml:space="preserve">LOW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Projected Coverage After Gap Closure:</w:t>
      </w:r>
      <w:r>
        <w:t xml:space="preserve"> </w:t>
      </w:r>
      <w:r>
        <w:rPr>
          <w:b/>
          <w:bCs/>
        </w:rPr>
        <w:t xml:space="preserve">92%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Deadline:</w:t>
      </w:r>
      <w:r>
        <w:t xml:space="preserve"> </w:t>
      </w:r>
      <w:r>
        <w:rPr>
          <w:b/>
          <w:bCs/>
        </w:rPr>
        <w:t xml:space="preserve">June 3, 2026 noon EDT</w:t>
      </w:r>
      <w:r>
        <w:t xml:space="preserve"> (Navy SBIR FY26 Release 1)</w:t>
      </w:r>
    </w:p>
    <w:p>
      <w:pPr>
        <w:pStyle w:val="Heading3"/>
        <w:spacing w:before="200" w:after="100"/>
      </w:pPr>
      <w:r>
        <w:t xml:space="preserve">T4 — DAF26BZ01-NV501: TacSRT Commercial Sensing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What They Want:</w:t>
      </w:r>
      <w:r>
        <w:t xml:space="preserve"> Leverage commercial space-as-a-service for tactical SRT, including commercial satellite imagery ingestion and analytics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Why We Fit (60%):</w:t>
      </w:r>
      <w:r>
        <w:t xml:space="preserve"> Geospatial OGC services (WMS/WFS/WMTS), maritime POSEIDON suite, AI analytics (ODIN + Evaluator)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Key Gaps to Close: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GAP-C3: Commercial Satellite Data Ingestion Pipeline</w:t>
      </w:r>
      <w:r>
        <w:t xml:space="preserve"> — No pipeline for Planet, Maxar, BlackSky, Capella, ICEYE APIs. Need connector framework, imagery tiling, and change detection. </w:t>
      </w:r>
      <w:r>
        <w:rPr>
          <w:i/>
          <w:iCs/>
        </w:rPr>
        <w:t xml:space="preserve">CRITICAL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Projected Coverage After Gap Closure:</w:t>
      </w:r>
      <w:r>
        <w:t xml:space="preserve"> </w:t>
      </w:r>
      <w:r>
        <w:rPr>
          <w:b/>
          <w:bCs/>
        </w:rPr>
        <w:t xml:space="preserve">82%</w:t>
      </w:r>
    </w:p>
    <w:p>
      <w:pPr>
        <w:pStyle w:val="Heading3"/>
        <w:spacing w:before="200" w:after="100"/>
      </w:pPr>
      <w:r>
        <w:t xml:space="preserve">T5 — DAF26BZ01-NV006: Intelligent Threat Aware Autonomy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What They Want:</w:t>
      </w:r>
      <w:r>
        <w:t xml:space="preserve"> WEZ geometric modeling, path planning through dynamic WEZs, multi-platform collaborative autonomy, sensor-to-shooter optimization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Why We Fit (65%):</w:t>
      </w:r>
      <w:r>
        <w:t xml:space="preserve"> Kill chain state machine, FIRES weaponeering (15 munition profiles), sensor-to-shooter pipeline, AI agents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Key Gaps to Close: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GAP-C2: WEZ Geometric Modeling</w:t>
      </w:r>
      <w:r>
        <w:t xml:space="preserve"> — No engagement envelope calculation. 3 of 4 explicit objectives center on WEZ. Without this, proposal is non-responsive. </w:t>
      </w:r>
      <w:r>
        <w:rPr>
          <w:i/>
          <w:iCs/>
        </w:rPr>
        <w:t xml:space="preserve">CRITICAL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GAP-C1: Monte Carlo Simulation</w:t>
      </w:r>
      <w:r>
        <w:t xml:space="preserve"> — Needed for WEZ probability modeling. </w:t>
      </w:r>
      <w:r>
        <w:rPr>
          <w:i/>
          <w:iCs/>
        </w:rPr>
        <w:t xml:space="preserve">CRITICAL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Projected Coverage After Gap Closure:</w:t>
      </w:r>
      <w:r>
        <w:t xml:space="preserve"> </w:t>
      </w:r>
      <w:r>
        <w:rPr>
          <w:b/>
          <w:bCs/>
        </w:rPr>
        <w:t xml:space="preserve">90%</w:t>
      </w:r>
    </w:p>
    <w:p>
      <w:pPr>
        <w:pStyle w:val="Heading3"/>
        <w:spacing w:before="200" w:after="100"/>
      </w:pPr>
      <w:r>
        <w:t xml:space="preserve">T7 — SFA26BZ01-SV003: Adaptive Intelligent Space C2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What They Want:</w:t>
      </w:r>
      <w:r>
        <w:t xml:space="preserve"> Adaptive AI for space domain awareness, anomaly detection, orbital event prediction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Why We Fit (70%):</w:t>
      </w:r>
      <w:r>
        <w:t xml:space="preserve"> SDA module (GPS health, 9 jammer profiles, UDL Space feed), AI anomaly detection, event bus architecture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Key Gaps to Close: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GAP-C1: Monte Carlo Simulation</w:t>
      </w:r>
      <w:r>
        <w:t xml:space="preserve"> — Needed for orbital scenario modeling. </w:t>
      </w:r>
      <w:r>
        <w:rPr>
          <w:i/>
          <w:iCs/>
        </w:rPr>
        <w:t xml:space="preserve">CRITICAL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GAP-C3: Commercial Satellite Connectors</w:t>
      </w:r>
      <w:r>
        <w:t xml:space="preserve"> — Space-as-a-service integration. </w:t>
      </w:r>
      <w:r>
        <w:rPr>
          <w:i/>
          <w:iCs/>
        </w:rPr>
        <w:t xml:space="preserve">CRITICAL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GAP-H1: Regenerative AI</w:t>
      </w:r>
      <w:r>
        <w:t xml:space="preserve"> — Adaptive learning for space object behavior. </w:t>
      </w:r>
      <w:r>
        <w:rPr>
          <w:i/>
          <w:iCs/>
        </w:rPr>
        <w:t xml:space="preserve">HIGH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Projected Coverage After Gap Closure:</w:t>
      </w:r>
      <w:r>
        <w:t xml:space="preserve"> </w:t>
      </w:r>
      <w:r>
        <w:rPr>
          <w:b/>
          <w:bCs/>
        </w:rPr>
        <w:t xml:space="preserve">88%</w:t>
      </w:r>
    </w:p>
    <w:p>
      <w:pPr>
        <w:pStyle w:val="Heading2"/>
        <w:spacing w:before="300" w:after="150"/>
      </w:pPr>
      <w:r>
        <w:t xml:space="preserve">TIER 3: LOWER PRIORITY — Viable Phase I Opportunities (6 Topics)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14%"/>
            <w:shd w:fill="E2E8F0"/>
          </w:tcPr>
          <w:p>
            <w:pPr>
              <w:spacing w:before="40" w:after="40"/>
            </w:pPr>
            <w:r>
              <w:t xml:space="preserve">Field</w:t>
            </w:r>
          </w:p>
        </w:tc>
        <w:tc>
          <w:tcPr>
            <w:tcW w:type="pct" w:w="14%"/>
            <w:shd w:fill="E2E8F0"/>
          </w:tcPr>
          <w:p>
            <w:pPr>
              <w:spacing w:before="40" w:after="40"/>
            </w:pPr>
            <w:r>
              <w:t xml:space="preserve">T3</w:t>
            </w:r>
          </w:p>
        </w:tc>
        <w:tc>
          <w:tcPr>
            <w:tcW w:type="pct" w:w="14%"/>
            <w:shd w:fill="E2E8F0"/>
          </w:tcPr>
          <w:p>
            <w:pPr>
              <w:spacing w:before="40" w:after="40"/>
            </w:pPr>
            <w:r>
              <w:t xml:space="preserve">T6</w:t>
            </w:r>
          </w:p>
        </w:tc>
        <w:tc>
          <w:tcPr>
            <w:tcW w:type="pct" w:w="14%"/>
            <w:shd w:fill="E2E8F0"/>
          </w:tcPr>
          <w:p>
            <w:pPr>
              <w:spacing w:before="40" w:after="40"/>
            </w:pPr>
            <w:r>
              <w:t xml:space="preserve">T8</w:t>
            </w:r>
          </w:p>
        </w:tc>
        <w:tc>
          <w:tcPr>
            <w:tcW w:type="pct" w:w="14%"/>
            <w:shd w:fill="E2E8F0"/>
          </w:tcPr>
          <w:p>
            <w:pPr>
              <w:spacing w:before="40" w:after="40"/>
            </w:pPr>
            <w:r>
              <w:t xml:space="preserve">T9</w:t>
            </w:r>
          </w:p>
        </w:tc>
        <w:tc>
          <w:tcPr>
            <w:tcW w:type="pct" w:w="14%"/>
            <w:shd w:fill="E2E8F0"/>
          </w:tcPr>
          <w:p>
            <w:pPr>
              <w:spacing w:before="40" w:after="40"/>
            </w:pPr>
            <w:r>
              <w:t xml:space="preserve">T10</w:t>
            </w:r>
          </w:p>
        </w:tc>
        <w:tc>
          <w:tcPr>
            <w:tcW w:type="pct" w:w="14%"/>
            <w:shd w:fill="E2E8F0"/>
          </w:tcPr>
          <w:p>
            <w:pPr>
              <w:spacing w:before="40" w:after="40"/>
            </w:pPr>
            <w:r>
              <w:t xml:space="preserve">T11</w:t>
            </w:r>
          </w:p>
        </w:tc>
      </w:tr>
      <w:tr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Topic Number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OSW26BZ01-DV001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DTRA254-P005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DON26BZ01-NV041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DON26BZ01-NV032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CBD254-009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SF25D-T1201</w:t>
            </w:r>
          </w:p>
        </w:tc>
      </w:tr>
      <w:tr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Title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Ad-Hoc Distributed RF Mesh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CWMD Commercial Sensors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Tropical Cyclone Forecasting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PolarNav Ice Detection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Tactical CB Visualization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Fire Support Training Systems</w:t>
            </w:r>
          </w:p>
        </w:tc>
      </w:tr>
      <w:tr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Agency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OSW / DAF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DTRA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Department of the Navy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Department of the Navy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CBD / DTRA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t xml:space="preserve">Army / SF</w:t>
            </w:r>
          </w:p>
        </w:tc>
      </w:tr>
      <w:tr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Coverage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80%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85%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55%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50%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75%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80%</w:t>
            </w:r>
          </w:p>
        </w:tc>
      </w:tr>
      <w:tr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Status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NOT STARTED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NOT STARTED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NOT STARTED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NOT STARTED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NOT STARTED</w:t>
            </w:r>
          </w:p>
        </w:tc>
        <w:tc>
          <w:tcPr>
            <w:tcW w:type="pct" w:w="14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NOT STARTED</w:t>
            </w:r>
          </w:p>
        </w:tc>
      </w:tr>
    </w:tbl>
    <w:p>
      <w:pPr>
        <w:spacing w:after="100"/>
      </w:pPr>
    </w:p>
    <w:p>
      <w:pPr>
        <w:pStyle w:val="Heading3"/>
        <w:spacing w:before="200" w:after="100"/>
      </w:pPr>
      <w:r>
        <w:t xml:space="preserve">T3 — OSW26BZ01-DV001: Ad-Hoc Distributed RF Mesh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Coverage: 80%</w:t>
      </w:r>
      <w:r>
        <w:t xml:space="preserve"> | Event bus pub/sub, multi-protocol translation (12+ protocols), EW/SPECTRUM, SDR integration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Gaps:</w:t>
      </w:r>
      <w:r>
        <w:t xml:space="preserve"> RF mesh network formation protocol, LPI/LPD waveform design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Deadline:</w:t>
      </w:r>
      <w:r>
        <w:t xml:space="preserve"> Component-specific close date TBD</w:t>
      </w:r>
    </w:p>
    <w:p>
      <w:pPr>
        <w:pStyle w:val="Heading3"/>
        <w:spacing w:before="200" w:after="100"/>
      </w:pPr>
      <w:r>
        <w:t xml:space="preserve">T6 — DTRA254-P005: CWMD Commercial Sensors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Coverage: 85%</w:t>
      </w:r>
      <w:r>
        <w:t xml:space="preserve"> | CBRN module (EPA RadNet, CTBTO, IAEA), sensor fusion, commercial sensor evaluation framework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Gaps:</w:t>
      </w:r>
      <w:r>
        <w:t xml:space="preserve"> WMD-specific indicator fusion (minor)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Deadline:</w:t>
      </w:r>
      <w:r>
        <w:t xml:space="preserve"> DTRA component close date TBD</w:t>
      </w:r>
    </w:p>
    <w:p>
      <w:pPr>
        <w:pStyle w:val="Heading3"/>
        <w:spacing w:before="200" w:after="100"/>
      </w:pPr>
      <w:r>
        <w:t xml:space="preserve">T8 — DON26BZ01-NV041: Tropical Cyclone Forecasting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Coverage: 55%</w:t>
      </w:r>
      <w:r>
        <w:t xml:space="preserve"> | Modular architecture, KML/GeoJSON, weather feeds (NWS/NOAA), offline capability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Gaps:</w:t>
      </w:r>
      <w:r>
        <w:t xml:space="preserve"> Cyclone-specific ML models, ATCF format parser, GRIB2 ingest (GAP-H3)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Deadline:</w:t>
      </w:r>
      <w:r>
        <w:t xml:space="preserve"> June 3, 2026 noon EDT (Navy component)</w:t>
      </w:r>
    </w:p>
    <w:p>
      <w:pPr>
        <w:pStyle w:val="Heading3"/>
        <w:spacing w:before="200" w:after="100"/>
      </w:pPr>
      <w:r>
        <w:t xml:space="preserve">T9 — DON26BZ01-NV032: PolarNav Ice Detection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Coverage: 50%</w:t>
      </w:r>
      <w:r>
        <w:t xml:space="preserve"> | Multi-sensor fusion, maritime suite (POSEIDON), geospatial services, AI analytics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Gaps:</w:t>
      </w:r>
      <w:r>
        <w:t xml:space="preserve"> Arctic-specific models, SAR ice classification, polar route optimization (GAP-H3)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Deadline:</w:t>
      </w:r>
      <w:r>
        <w:t xml:space="preserve"> June 3, 2026 noon EDT (Navy component)</w:t>
      </w:r>
    </w:p>
    <w:p>
      <w:pPr>
        <w:pStyle w:val="Heading3"/>
        <w:spacing w:before="200" w:after="100"/>
      </w:pPr>
      <w:r>
        <w:t xml:space="preserve">T10 — CBD254-009: Tactical CB Visualization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Coverage: 75%</w:t>
      </w:r>
      <w:r>
        <w:t xml:space="preserve"> | CBRN module, TAK integration, real-time sensor visualization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Gaps:</w:t>
      </w:r>
      <w:r>
        <w:t xml:space="preserve"> ISA (Integrated Sensor Architecture) compliance wrapper (GAP-H2)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Deadline:</w:t>
      </w:r>
      <w:r>
        <w:t xml:space="preserve"> CBD component close date TBD</w:t>
      </w:r>
    </w:p>
    <w:p>
      <w:pPr>
        <w:pStyle w:val="Heading3"/>
        <w:spacing w:before="200" w:after="100"/>
      </w:pPr>
      <w:r>
        <w:t xml:space="preserve">T11 — SF25D-T1201: Fire Support Training Systems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Coverage: 80%</w:t>
      </w:r>
      <w:r>
        <w:t xml:space="preserve"> | FIRES module (15 munitions), call-for-fire generation, joint fires doctrine, C-RAM, 21-course training system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Gaps:</w:t>
      </w:r>
      <w:r>
        <w:t xml:space="preserve"> Training scenario generation engine, AAR automated scoring (GAP-L2)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Deadline:</w:t>
      </w:r>
      <w:r>
        <w:t xml:space="preserve"> Component-specific close date TBD</w:t>
      </w:r>
    </w:p>
    <w:p>
      <w:pPr>
        <w:pStyle w:val="Heading2"/>
        <w:spacing w:before="300" w:after="150"/>
      </w:pPr>
      <w:r>
        <w:t xml:space="preserve">GAP-CLOSING BUILD PRIORITY</w:t>
      </w:r>
    </w:p>
    <w:p>
      <w:pPr>
        <w:spacing w:before="80" w:after="80"/>
      </w:pPr>
      <w:r>
        <w:t xml:space="preserve">Derived from the MAP-GAP Audit. Each gap is ranked by number of topics strengthened per hour invested.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Priority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Gap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Effort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Topics Unlocked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ROI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P1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Monte Carlo Simulation Engine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Medium-High (~500-800 LOC)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T2, T5, T7, T9 (+4)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HIGHEST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P2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WEZ Geometric Modeling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High (~600-1000 LOC)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T5, T1, T2 (+3, T5 becomes responsive)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HIGH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P3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Commercial Satellite Connectors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Medium (~400-600 LOC)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T4, T7, T9 (+3, T4 becomes responsive)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HIGH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P4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Regenerative AI Feedback Loop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Medium (~300-500 LOC)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T2, T5, T7 (+3, T2 keyword match)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MEDIUM-HIGH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P5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ISA/STANAG Compliance Wrappers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Low-Medium (~200-400 LOC)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T10, T3, T6 (+3)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MEDIUM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P6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NL Tactical Interface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Low (~200-300 LOC)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T2 (+1, differentiator)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MEDIUM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P7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Environmental Domain Models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Medium (~400-600 LOC per sub-module)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T8, T9 (+2)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LOW-MEDIUM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P8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Training Scenario Generator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Low (~200-400 LOC)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T11 (+1)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LOW</w:t>
            </w:r>
          </w:p>
        </w:tc>
      </w:tr>
    </w:tbl>
    <w:p>
      <w:pPr>
        <w:spacing w:after="100"/>
      </w:pPr>
    </w:p>
    <w:p>
      <w:pPr>
        <w:pStyle w:val="Heading2"/>
        <w:spacing w:before="300" w:after="150"/>
      </w:pPr>
      <w:r>
        <w:t xml:space="preserve">BUILD PHASE EXECUTION SEQUENCE</w:t>
      </w:r>
    </w:p>
    <w:p>
      <w:pPr>
        <w:pStyle w:val="Heading3"/>
        <w:spacing w:before="200" w:after="100"/>
      </w:pPr>
      <w:r>
        <w:t xml:space="preserve">Phase A: Immediate — Before Proposal Writing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Build:</w:t>
      </w:r>
      <w:r>
        <w:t xml:space="preserve"> P1 (Monte Carlo) + P4 (Regenerative AI) + P6 (NL Interface)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Result:</w:t>
      </w:r>
      <w:r>
        <w:t xml:space="preserve"> Observant-AI (T2) becomes fully responsive. T5 and T7 also strengthened.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Combined Effort:</w:t>
      </w:r>
      <w:r>
        <w:t xml:space="preserve"> ~1,000-1,600 lines of code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Impact:</w:t>
      </w:r>
      <w:r>
        <w:t xml:space="preserve"> Average coverage jumps from 74.6% to 78.5%</w:t>
      </w:r>
    </w:p>
    <w:p>
      <w:pPr>
        <w:pStyle w:val="Heading3"/>
        <w:spacing w:before="200" w:after="100"/>
      </w:pPr>
      <w:r>
        <w:t xml:space="preserve">Phase B: Before June 3, 2026 Navy Deadline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Build:</w:t>
      </w:r>
      <w:r>
        <w:t xml:space="preserve"> P2 (WEZ Modeling) + P5 (ISA Wrappers)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Result:</w:t>
      </w:r>
      <w:r>
        <w:t xml:space="preserve"> Threat Aware Autonomy (T5) and Tactical CB Viz (T10) become fully responsive.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Combined Effort:</w:t>
      </w:r>
      <w:r>
        <w:t xml:space="preserve"> ~800-1,400 lines of code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Impact:</w:t>
      </w:r>
      <w:r>
        <w:t xml:space="preserve"> Average coverage reaches 81.3%</w:t>
      </w:r>
    </w:p>
    <w:p>
      <w:pPr>
        <w:pStyle w:val="Heading3"/>
        <w:spacing w:before="200" w:after="100"/>
      </w:pPr>
      <w:r>
        <w:t xml:space="preserve">Phase C: If Resources Allow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Build:</w:t>
      </w:r>
      <w:r>
        <w:t xml:space="preserve"> P3 (Satellite Connectors) + P7 (Environmental Models)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Result:</w:t>
      </w:r>
      <w:r>
        <w:t xml:space="preserve"> TacSRT (T4), Cyclone (T8), PolarNav (T9) strengthened.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Combined Effort:</w:t>
      </w:r>
      <w:r>
        <w:t xml:space="preserve"> ~800-1,200 lines of code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Impact:</w:t>
      </w:r>
      <w:r>
        <w:t xml:space="preserve"> Average coverage reaches 87.5%</w:t>
      </w:r>
    </w:p>
    <w:p>
      <w:pPr>
        <w:pStyle w:val="Heading3"/>
        <w:spacing w:before="200" w:after="100"/>
      </w:pPr>
      <w:r>
        <w:t xml:space="preserve">Phase D: Lower Priority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Build:</w:t>
      </w:r>
      <w:r>
        <w:t xml:space="preserve"> P8 (Training Scenario Generator)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Result:</w:t>
      </w:r>
      <w:r>
        <w:t xml:space="preserve"> Fire Support Training (T11) strengthened.</w:t>
      </w:r>
    </w:p>
    <w:p>
      <w:pPr>
        <w:pStyle w:val="ListParagraph"/>
        <w:numPr>
          <w:ilvl w:val="0"/>
          <w:numId w:val="1"/>
        </w:numPr>
        <w:spacing w:before="40" w:after="40"/>
      </w:pPr>
      <w:r>
        <w:rPr>
          <w:b/>
          <w:bCs/>
        </w:rPr>
        <w:t xml:space="preserve">Effort:</w:t>
      </w:r>
      <w:r>
        <w:t xml:space="preserve"> ~200-400 lines of code</w:t>
      </w:r>
    </w:p>
    <w:p>
      <w:pPr>
        <w:pStyle w:val="Heading2"/>
        <w:spacing w:before="300" w:after="150"/>
      </w:pPr>
      <w:r>
        <w:t xml:space="preserve">COVERAGE PROJECTION BY PHASE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Topic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Current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After Phase A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After Phase B</w:t>
            </w:r>
          </w:p>
        </w:tc>
        <w:tc>
          <w:tcPr>
            <w:tcW w:type="pct" w:w="20%"/>
            <w:shd w:fill="E2E8F0"/>
          </w:tcPr>
          <w:p>
            <w:pPr>
              <w:spacing w:before="40" w:after="40"/>
            </w:pPr>
            <w:r>
              <w:t xml:space="preserve">After All Phases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T1: Convoy C-UAS (SUBMITTED)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97%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97%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T2: Observant-AI ISRT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70%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90%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92%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T3: Ad-Hoc RF Network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88%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88%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T4: TacSRT Commercial Sensing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60%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60%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60%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82%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T5: Threat Aware Autonomy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65%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75%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88%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90%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T6: CWMD Commercial Sensors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90%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90%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T7: Adaptive Space C2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70%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82%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82%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88%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T8: Tropical Cyclone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55%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55%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55%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72%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T9: PolarNav Ice Detection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50%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58%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58%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75%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T10: Tactical CB Viz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75%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75%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88%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88%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T11: Fire Support Training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80%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88%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T12: Army C-UAS (SUBMITTED)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95%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t xml:space="preserve">T13: AFRL D2P2 (SUBMITTED)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90%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t xml:space="preserve">92%</w:t>
            </w:r>
          </w:p>
        </w:tc>
      </w:tr>
      <w:tr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AVERAGE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74.6%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78.5%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81.3%</w:t>
            </w:r>
          </w:p>
        </w:tc>
        <w:tc>
          <w:tcPr>
            <w:tcW w:type="pct" w:w="20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87.5%</w:t>
            </w:r>
          </w:p>
        </w:tc>
      </w:tr>
    </w:tbl>
    <w:p>
      <w:pPr>
        <w:spacing w:after="100"/>
      </w:pPr>
    </w:p>
    <w:p>
      <w:pPr>
        <w:pStyle w:val="Heading2"/>
        <w:spacing w:before="300" w:after="150"/>
      </w:pPr>
      <w:r>
        <w:t xml:space="preserve">KEY DEADLINES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shd w:fill="E2E8F0"/>
          </w:tcPr>
          <w:p>
            <w:pPr>
              <w:spacing w:before="40" w:after="40"/>
            </w:pPr>
            <w:r>
              <w:t xml:space="preserve">Date</w:t>
            </w:r>
          </w:p>
        </w:tc>
        <w:tc>
          <w:tcPr>
            <w:tcW w:type="pct" w:w="33%"/>
            <w:shd w:fill="E2E8F0"/>
          </w:tcPr>
          <w:p>
            <w:pPr>
              <w:spacing w:before="40" w:after="40"/>
            </w:pPr>
            <w:r>
              <w:t xml:space="preserve">Event</w:t>
            </w:r>
          </w:p>
        </w:tc>
        <w:tc>
          <w:tcPr>
            <w:tcW w:type="pct" w:w="33%"/>
            <w:shd w:fill="E2E8F0"/>
          </w:tcPr>
          <w:p>
            <w:pPr>
              <w:spacing w:before="40" w:after="40"/>
            </w:pPr>
            <w:r>
              <w:t xml:space="preserve">Topics Affected</w:t>
            </w:r>
          </w:p>
        </w:tc>
      </w:tr>
      <w:tr>
        <w:tc>
          <w:tcPr>
            <w:tcW w:type="pct" w:w="33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April 13-14, 2026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D2P2 submissions complete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T1, T12, T13 (DONE)</w:t>
            </w:r>
          </w:p>
        </w:tc>
      </w:tr>
      <w:tr>
        <w:tc>
          <w:tcPr>
            <w:tcW w:type="pct" w:w="33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June 3, 2026 noon EDT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Navy SBIR FY26 Release 1 close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T2, T8, T9 (Navy component topics)</w:t>
            </w:r>
          </w:p>
        </w:tc>
      </w:tr>
      <w:tr>
        <w:tc>
          <w:tcPr>
            <w:tcW w:type="pct" w:w="33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TBD (DAF component)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DAF SBIR FY26 Release 1 close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T3, T4, T5</w:t>
            </w:r>
          </w:p>
        </w:tc>
      </w:tr>
      <w:tr>
        <w:tc>
          <w:tcPr>
            <w:tcW w:type="pct" w:w="33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TBD (DTRA component)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DTRA SBIR close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T6</w:t>
            </w:r>
          </w:p>
        </w:tc>
      </w:tr>
      <w:tr>
        <w:tc>
          <w:tcPr>
            <w:tcW w:type="pct" w:w="33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TBD (CBD component)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CBD SBIR close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T10</w:t>
            </w:r>
          </w:p>
        </w:tc>
      </w:tr>
      <w:tr>
        <w:tc>
          <w:tcPr>
            <w:tcW w:type="pct" w:w="33%"/>
          </w:tcPr>
          <w:p>
            <w:pPr>
              <w:spacing w:before="40" w:after="40"/>
            </w:pPr>
            <w:r>
              <w:rPr>
                <w:b/>
                <w:bCs/>
              </w:rPr>
              <w:t xml:space="preserve">TBD (Army/SF component)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Army/Space Force SBIR close</w:t>
            </w:r>
          </w:p>
        </w:tc>
        <w:tc>
          <w:tcPr>
            <w:tcW w:type="pct" w:w="33%"/>
          </w:tcPr>
          <w:p>
            <w:pPr>
              <w:spacing w:before="40" w:after="40"/>
            </w:pPr>
            <w:r>
              <w:t xml:space="preserve">T7, T11</w:t>
            </w:r>
          </w:p>
        </w:tc>
      </w:tr>
    </w:tbl>
    <w:p>
      <w:pPr>
        <w:spacing w:after="100"/>
      </w:pPr>
    </w:p>
    <w:p>
      <w:pPr>
        <w:pStyle w:val="Heading2"/>
        <w:spacing w:before="300" w:after="150"/>
      </w:pPr>
      <w:r>
        <w:t xml:space="preserve">CROSS-REFERENCE: TOPIC-TO-MODULE MAPPING</w:t>
      </w:r>
    </w:p>
    <w:p>
      <w:pPr>
        <w:spacing w:before="1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Module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T1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T2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T3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T4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T5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T6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T7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T8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T9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T10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T11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T12</w:t>
            </w:r>
          </w:p>
        </w:tc>
        <w:tc>
          <w:tcPr>
            <w:tcW w:type="pct" w:w="7%"/>
            <w:shd w:fill="E2E8F0"/>
          </w:tcPr>
          <w:p>
            <w:pPr>
              <w:spacing w:before="40" w:after="40"/>
            </w:pPr>
            <w:r>
              <w:t xml:space="preserve">T13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Multi-Sensor Fusion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Kill Chain Automation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C-UAS Detection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TAK/CoT Bridge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GPS-Denied PNT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Event Bus / Distributed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CBRN/WMD Sensors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FIRES/Weaponeering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Maritime/POSEIDON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Space Domain Awareness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AI Agents (ODIN/Eval)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Multi-Protocol Interop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DDIL/Offline Ops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</w:tr>
      <w:tr>
        <w:tc>
          <w:tcPr>
            <w:tcW w:type="pct" w:w="7%"/>
          </w:tcPr>
          <w:p>
            <w:pPr>
              <w:spacing w:before="40" w:after="40"/>
            </w:pPr>
            <w:r>
              <w:t xml:space="preserve">OGC/Geospatial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X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  <w:tc>
          <w:tcPr>
            <w:tcW w:type="pct" w:w="7%"/>
          </w:tcPr>
          <w:p>
            <w:pPr>
              <w:spacing w:before="40" w:after="40"/>
            </w:pPr>
            <w:r>
              <w:t xml:space="preserve">.</w:t>
            </w:r>
          </w:p>
        </w:tc>
      </w:tr>
    </w:tbl>
    <w:p>
      <w:pPr>
        <w:spacing w:after="100"/>
      </w:pPr>
    </w:p>
    <w:p>
      <w:pPr>
        <w:spacing w:before="80" w:after="80"/>
      </w:pPr>
      <w:r>
        <w:rPr>
          <w:b/>
          <w:bCs/>
        </w:rPr>
        <w:t xml:space="preserve">Prepared by SHIELD/ATLAS MAP-GAP v2 Methodology</w:t>
      </w:r>
    </w:p>
    <w:p>
      <w:pPr>
        <w:spacing w:before="80" w:after="80"/>
      </w:pPr>
      <w:r>
        <w:rPr>
          <w:b/>
          <w:bCs/>
        </w:rPr>
        <w:t xml:space="preserve">AI Engines: Claude (Anthropic), GPT-4o (OpenAI), Gemini 2.5 Pro (Google) — 100% US-Origin per GSAR 552.239-7001</w:t>
      </w:r>
    </w:p>
    <w:p>
      <w:pPr>
        <w:spacing w:before="80" w:after="80"/>
      </w:pPr>
      <w:r>
        <w:rPr>
          <w:b/>
          <w:bCs/>
        </w:rPr>
        <w:t xml:space="preserve">Platform: shield-atlas-production.up.railway.app | CAGE: 9VKK3 | UEI: C7YDV3P8EHL7</w:t>
      </w:r>
    </w:p>
    <w:p>
      <w:pPr>
        <w:spacing w:before="80" w:after="80"/>
      </w:pPr>
      <w:r>
        <w:rPr>
          <w:b/>
          <w:bCs/>
        </w:rPr>
        <w:t xml:space="preserve">UNCLASSIFIED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2026-04-15T12:30:21.666Z</dcterms:created>
  <dcterms:modified xsi:type="dcterms:W3CDTF">2026-04-15T12:30:21.667Z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